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09" w:rsidRPr="0003712E" w:rsidRDefault="003D19DF">
      <w:pPr>
        <w:widowControl w:val="0"/>
        <w:jc w:val="both"/>
        <w:rPr>
          <w:rFonts w:asciiTheme="majorHAnsi" w:eastAsia="Arial Unicode MS" w:hAnsiTheme="majorHAnsi" w:cs="Arial"/>
          <w:b/>
          <w:color w:val="000000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 w:rsidRPr="0003712E">
        <w:rPr>
          <w:rFonts w:asciiTheme="majorHAnsi" w:eastAsia="Arial Unicode MS" w:hAnsiTheme="majorHAnsi" w:cs="Arial"/>
          <w:b/>
          <w:color w:val="000000"/>
          <w:sz w:val="22"/>
          <w:szCs w:val="22"/>
        </w:rPr>
        <w:t>Załącznik nr 1 do SIWZ</w:t>
      </w:r>
    </w:p>
    <w:p w:rsidR="00814D09" w:rsidRDefault="00814D09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814D09" w:rsidRDefault="00814D09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814D09" w:rsidRDefault="00814D09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814D09" w:rsidRDefault="003D19DF">
      <w:pPr>
        <w:widowControl w:val="0"/>
        <w:jc w:val="center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>OPIS PRZEDMIOTU ZAMÓWIENIA</w:t>
      </w:r>
    </w:p>
    <w:p w:rsidR="00814D09" w:rsidRDefault="00814D09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814D09" w:rsidRDefault="003D19D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000000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>Ogólna charakterystyka Gminy Sułów w kontekście odbioru i zagospodarowania odpadów:</w:t>
      </w:r>
    </w:p>
    <w:p w:rsidR="00814D09" w:rsidRDefault="003D19DF">
      <w:pPr>
        <w:numPr>
          <w:ilvl w:val="0"/>
          <w:numId w:val="3"/>
        </w:numPr>
        <w:ind w:left="285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Liczba mieszkańców zameldowanych na terenie Gminy Sułów (stan na 31.10.2016r.) wynosi – 4741</w:t>
      </w:r>
    </w:p>
    <w:p w:rsidR="00814D09" w:rsidRDefault="003D19D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Na terenie Gminy Sułów jest:</w:t>
      </w:r>
    </w:p>
    <w:p w:rsidR="00814D09" w:rsidRDefault="003D19D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ok. 1249 nieruchomości  zamieszkałych o zabudowie jednorodzinnej (zgodnie z</w:t>
      </w:r>
      <w:r>
        <w:rPr>
          <w:rFonts w:asciiTheme="majorHAnsi" w:hAnsiTheme="majorHAnsi" w:cs="Arial"/>
          <w:sz w:val="22"/>
          <w:szCs w:val="22"/>
        </w:rPr>
        <w:br/>
        <w:t xml:space="preserve">     załącznikiem nr 1 do OPZ);</w:t>
      </w:r>
    </w:p>
    <w:p w:rsidR="00814D09" w:rsidRDefault="003D19D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zabudowa wielorodzinna w Michalowie składająca się z 17 budynków </w:t>
      </w:r>
      <w:proofErr w:type="spellStart"/>
      <w:r>
        <w:rPr>
          <w:rFonts w:asciiTheme="majorHAnsi" w:hAnsiTheme="majorHAnsi" w:cs="Arial"/>
          <w:sz w:val="22"/>
          <w:szCs w:val="22"/>
        </w:rPr>
        <w:t>wielolokalowych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zamieszkałych przez ok. 500 mieszkańców (stan na 31.10.2016r.); </w:t>
      </w:r>
    </w:p>
    <w:p w:rsidR="00814D09" w:rsidRDefault="003D19D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814D09" w:rsidRDefault="003D19DF">
      <w:pPr>
        <w:tabs>
          <w:tab w:val="left" w:pos="627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3.  Obszar Gminy Sułów wynosi 93,48 </w:t>
      </w:r>
      <w:proofErr w:type="spellStart"/>
      <w:r>
        <w:rPr>
          <w:rFonts w:asciiTheme="majorHAnsi" w:hAnsiTheme="majorHAnsi" w:cs="Arial"/>
          <w:sz w:val="22"/>
          <w:szCs w:val="22"/>
        </w:rPr>
        <w:t>km²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</w:p>
    <w:p w:rsidR="00814D09" w:rsidRDefault="003D19DF">
      <w:pPr>
        <w:tabs>
          <w:tab w:val="left" w:pos="-57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4. W okresie od 01.01 – 31.10.2016 roku z terenu gminy Sułów odebrano i zagospodarowano następujące ilości odpadów komunalnych: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Niesegregowane zmieszane odpady komunalne (20 03 01) – 240,74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Opakowania z tworzyw sztucznych (15 01 02) – 19,46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Tworzywa sztuczne (20 01 39) – 1,71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Opakowania ze szkła (15 01 07) – 21,11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Szkło (20 01 02) – 8,57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Papier i tektura (20 01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01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) – 0,12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Opakowania z papieru i tektury (15 01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01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) – 4,79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Opak</w:t>
      </w:r>
      <w:r w:rsidR="00463ACB">
        <w:rPr>
          <w:rFonts w:asciiTheme="majorHAnsi" w:hAnsiTheme="majorHAnsi" w:cs="Arial"/>
          <w:color w:val="000000"/>
          <w:sz w:val="22"/>
          <w:szCs w:val="22"/>
        </w:rPr>
        <w:t>owania z metali (15 01 04) – 0,46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Odpady wielkogabarytowe (20 03 07) – 6,78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Opony (16 01 03) – 5,00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Inne odpady niewymienione w innych podgrupach /popiół/ (20 02 03) – 25,72 Mg</w:t>
      </w:r>
    </w:p>
    <w:p w:rsidR="00814D09" w:rsidRDefault="003D19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Gruz ceglany (17 01 02) – 2,36 Mg</w:t>
      </w:r>
    </w:p>
    <w:p w:rsidR="00814D09" w:rsidRDefault="003D19DF">
      <w:pPr>
        <w:tabs>
          <w:tab w:val="left" w:pos="798"/>
          <w:tab w:val="left" w:pos="2431"/>
        </w:tabs>
        <w:jc w:val="both"/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Szacunkowa masa odpadów, które mogą zostać odebrane i zagospodarowane w czasie trwania zamówienia tj. od </w:t>
      </w:r>
      <w:r w:rsidR="00686B60">
        <w:rPr>
          <w:rFonts w:asciiTheme="majorHAnsi" w:hAnsiTheme="majorHAnsi" w:cs="Arial"/>
          <w:b/>
          <w:color w:val="000000"/>
          <w:sz w:val="22"/>
          <w:szCs w:val="22"/>
        </w:rPr>
        <w:t xml:space="preserve">dnia podpisania umowy </w:t>
      </w: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do 31 grudnia 2017r. to: </w:t>
      </w:r>
    </w:p>
    <w:p w:rsidR="00814D09" w:rsidRDefault="003D19DF">
      <w:pPr>
        <w:tabs>
          <w:tab w:val="left" w:pos="798"/>
          <w:tab w:val="left" w:pos="2431"/>
        </w:tabs>
        <w:jc w:val="both"/>
      </w:pPr>
      <w:r>
        <w:rPr>
          <w:rFonts w:asciiTheme="majorHAnsi" w:hAnsiTheme="majorHAnsi" w:cs="Arial"/>
          <w:b/>
          <w:color w:val="000000"/>
          <w:sz w:val="22"/>
          <w:szCs w:val="22"/>
        </w:rPr>
        <w:t>- 305 Mg odpadów niesegregowanych,</w:t>
      </w:r>
    </w:p>
    <w:p w:rsidR="00814D09" w:rsidRDefault="003D19DF">
      <w:pPr>
        <w:tabs>
          <w:tab w:val="left" w:pos="798"/>
          <w:tab w:val="left" w:pos="2431"/>
        </w:tabs>
        <w:jc w:val="both"/>
      </w:pPr>
      <w:r>
        <w:rPr>
          <w:rFonts w:asciiTheme="majorHAnsi" w:hAnsiTheme="majorHAnsi" w:cs="Arial"/>
          <w:b/>
          <w:color w:val="000000"/>
          <w:sz w:val="22"/>
          <w:szCs w:val="22"/>
        </w:rPr>
        <w:t>- 125 Mg odpadów segregowanych.</w:t>
      </w:r>
    </w:p>
    <w:p w:rsidR="00814D09" w:rsidRDefault="003D19D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Do określenia szacunkowej masy odpadów przyjęto ilość odebranych odpadów z trzech kwartałów bieżącego roku,  którą zwiększono o ilość odpowiadającą jednemu kwartałowi.</w:t>
      </w:r>
    </w:p>
    <w:p w:rsidR="00814D09" w:rsidRDefault="00814D09">
      <w:pPr>
        <w:tabs>
          <w:tab w:val="left" w:pos="798"/>
        </w:tabs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814D09" w:rsidRDefault="003D19DF">
      <w:pPr>
        <w:tabs>
          <w:tab w:val="left" w:pos="684"/>
        </w:tabs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Uwaga!</w:t>
      </w:r>
    </w:p>
    <w:p w:rsidR="00814D09" w:rsidRDefault="003D19DF">
      <w:pPr>
        <w:tabs>
          <w:tab w:val="left" w:pos="684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Ilość nieruchomości jest szacunkowa. Zamawiający zastrzega sobie prawo zmiany ilości nieruchomości, z których będą odbierane odpady komunalne. Ich ilość może wzrosnąć lub zmaleć w czasie realizacji zamówienia w wyniku zasiedlania nowych budynków lub ich wyludnienia.</w:t>
      </w:r>
    </w:p>
    <w:p w:rsidR="00814D09" w:rsidRDefault="003D19DF">
      <w:pPr>
        <w:tabs>
          <w:tab w:val="left" w:pos="684"/>
        </w:tabs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Szczegółowy wykaz nieruchomości objętych zamówieniem Wykonawca otrzyma w dniu podpisania </w:t>
      </w:r>
      <w:r>
        <w:rPr>
          <w:rFonts w:asciiTheme="majorHAnsi" w:hAnsiTheme="majorHAnsi" w:cs="Arial"/>
          <w:color w:val="000000"/>
          <w:sz w:val="22"/>
          <w:szCs w:val="22"/>
        </w:rPr>
        <w:t>umowy.</w:t>
      </w:r>
    </w:p>
    <w:p w:rsidR="00814D09" w:rsidRDefault="003D19DF">
      <w:pPr>
        <w:tabs>
          <w:tab w:val="left" w:pos="684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</w:p>
    <w:p w:rsidR="00814D09" w:rsidRDefault="003D19DF">
      <w:pPr>
        <w:tabs>
          <w:tab w:val="left" w:pos="684"/>
        </w:tabs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 Zakres przedmiotu zamówienia:</w:t>
      </w:r>
    </w:p>
    <w:p w:rsidR="00814D09" w:rsidRDefault="00814D09">
      <w:pPr>
        <w:tabs>
          <w:tab w:val="left" w:pos="684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814D09" w:rsidRDefault="003D19DF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a) niesegregowanych  (zmieszanych) odpadów komunalnych,</w:t>
      </w:r>
    </w:p>
    <w:p w:rsidR="00814D09" w:rsidRDefault="003D19DF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b) odpadów komunalnych zbieranych w sposób selektywny z podziałem na frakcje: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tworzywa sztuczne i opakowania </w:t>
      </w:r>
      <w:proofErr w:type="spellStart"/>
      <w:r>
        <w:rPr>
          <w:rFonts w:asciiTheme="majorHAnsi" w:hAnsiTheme="majorHAnsi" w:cs="Arial"/>
          <w:sz w:val="22"/>
          <w:szCs w:val="22"/>
        </w:rPr>
        <w:t>wielomateriałowe</w:t>
      </w:r>
      <w:proofErr w:type="spellEnd"/>
      <w:r>
        <w:rPr>
          <w:rFonts w:asciiTheme="majorHAnsi" w:hAnsiTheme="majorHAnsi" w:cs="Arial"/>
          <w:sz w:val="22"/>
          <w:szCs w:val="22"/>
        </w:rPr>
        <w:t>,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szkło białe,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szkło kolorowe,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metal,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papier,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przeterminowane leki,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meble i inne odpady wielkogabarytowe,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zużyte opony,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odpady budowlane i rozbiórkowe powstałe w wyniku drobnych prac remontowych nie  wymagających zgłoszenia lub pozwolenia na budowę, </w:t>
      </w:r>
    </w:p>
    <w:p w:rsidR="00814D09" w:rsidRDefault="003D19D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popiół z palenisk domowych.</w:t>
      </w:r>
    </w:p>
    <w:p w:rsidR="00814D09" w:rsidRDefault="00814D09">
      <w:pPr>
        <w:ind w:left="570" w:hanging="570"/>
        <w:jc w:val="both"/>
        <w:rPr>
          <w:rFonts w:asciiTheme="majorHAnsi" w:hAnsiTheme="majorHAnsi" w:cs="Arial"/>
          <w:sz w:val="22"/>
          <w:szCs w:val="22"/>
        </w:rPr>
      </w:pP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814D09" w:rsidRDefault="003D19D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w miesiącu – odpady niesegregowane gromadzone w pojemnikach o pojemności 120 l, 240 l lub 1100 l.</w:t>
      </w:r>
    </w:p>
    <w:p w:rsidR="00814D09" w:rsidRDefault="003D19D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trzy miesiące – odpady segregowane gromadzone w workach z folii LDPE o pojemności od 60 l do 120 l takie jak:</w:t>
      </w:r>
    </w:p>
    <w:p w:rsidR="00814D09" w:rsidRDefault="003D19DF">
      <w:pPr>
        <w:ind w:left="72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- tworzywa sztuczne i opakowania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wielomateriałowe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 – worek żółty,</w:t>
      </w:r>
    </w:p>
    <w:p w:rsidR="00814D09" w:rsidRDefault="003D19DF">
      <w:pPr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- szkło białe – worek biały,</w:t>
      </w:r>
    </w:p>
    <w:p w:rsidR="00814D09" w:rsidRDefault="003D19DF">
      <w:pPr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- szkło kolorowe – worek zielony,</w:t>
      </w:r>
    </w:p>
    <w:p w:rsidR="00814D09" w:rsidRDefault="003D19DF">
      <w:pPr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- metale – worek czerwony.</w:t>
      </w:r>
    </w:p>
    <w:p w:rsidR="00814D09" w:rsidRDefault="003D19D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trzy miesiące – papier wiązany w paczki lub złożony w pudła kartonowe.</w:t>
      </w:r>
    </w:p>
    <w:p w:rsidR="00814D09" w:rsidRDefault="003D19D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miesiąc w okresie od października do kwietnia - popiół z palenisk domowych – worek czarny.</w:t>
      </w:r>
    </w:p>
    <w:p w:rsidR="00814D09" w:rsidRDefault="00814D09">
      <w:pPr>
        <w:ind w:left="720"/>
        <w:jc w:val="both"/>
        <w:rPr>
          <w:rFonts w:asciiTheme="majorHAnsi" w:hAnsiTheme="majorHAnsi" w:cs="Arial"/>
          <w:sz w:val="22"/>
          <w:szCs w:val="22"/>
        </w:rPr>
      </w:pPr>
    </w:p>
    <w:p w:rsidR="00814D09" w:rsidRDefault="003D19DF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 ramach świadczonej usługi Wykonawca zobowiązany jest do odbioru odpadów komunalnych także bezpośrednio z nieruchomości o trudno dostępnej lokalizacji </w:t>
      </w:r>
      <w:r>
        <w:rPr>
          <w:rFonts w:asciiTheme="majorHAnsi" w:hAnsiTheme="majorHAnsi" w:cs="Arial"/>
          <w:color w:val="000000"/>
          <w:sz w:val="22"/>
          <w:szCs w:val="22"/>
        </w:rPr>
        <w:t>(wykaz nieruchomości zamieszkałych o trudno dostępnej lokalizacji wymienionych w załączniku nr 2 do OPZ).</w:t>
      </w:r>
    </w:p>
    <w:p w:rsidR="00814D09" w:rsidRDefault="003D19DF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3) Wykonawca zobowiązany jest do odbierania </w:t>
      </w:r>
      <w:r>
        <w:rPr>
          <w:rFonts w:asciiTheme="majorHAnsi" w:hAnsiTheme="majorHAnsi" w:cs="Arial"/>
          <w:color w:val="000000"/>
          <w:sz w:val="22"/>
          <w:szCs w:val="22"/>
        </w:rPr>
        <w:t>bezpośrednio</w:t>
      </w:r>
      <w:r>
        <w:rPr>
          <w:rFonts w:asciiTheme="majorHAnsi" w:hAnsiTheme="majorHAnsi" w:cs="Arial"/>
          <w:sz w:val="22"/>
          <w:szCs w:val="22"/>
        </w:rPr>
        <w:t xml:space="preserve"> z terenu nieruchomości zamieszkałych o zabudowie wielorodzinnej w Michalowie następujących frakcji odpadów komunalnych z częstotliwością:</w:t>
      </w:r>
    </w:p>
    <w:p w:rsidR="00814D09" w:rsidRDefault="003D19DF">
      <w:pPr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dwa tygodnie - odpady niesegregowane gromadzone w pojemnikach KP-5, KP-7 lub KP-10.</w:t>
      </w:r>
    </w:p>
    <w:p w:rsidR="00814D09" w:rsidRDefault="003D19DF">
      <w:pPr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 wypełnieniu pojemników przeznaczonych do selektywnej zbiórki odpadów komunalnych o pojemności od 800 l do 7000 l takie jak:</w:t>
      </w: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- tworzywa sztuczne i opakowania </w:t>
      </w:r>
      <w:proofErr w:type="spellStart"/>
      <w:r>
        <w:rPr>
          <w:rFonts w:asciiTheme="majorHAnsi" w:hAnsiTheme="majorHAnsi" w:cs="Arial"/>
          <w:sz w:val="22"/>
          <w:szCs w:val="22"/>
        </w:rPr>
        <w:t>wielomateriałowe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– pojemnik żółty,</w:t>
      </w: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- szkło białe – pojemnik biały,</w:t>
      </w: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- szkło kolorowe – pojemnik zielony,</w:t>
      </w: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- metale – pojemnik czerwony,</w:t>
      </w: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- papier – pojemnik niebieski.</w:t>
      </w:r>
    </w:p>
    <w:p w:rsidR="00814D09" w:rsidRDefault="00814D09">
      <w:pPr>
        <w:jc w:val="both"/>
        <w:rPr>
          <w:rFonts w:asciiTheme="majorHAnsi" w:hAnsiTheme="majorHAnsi" w:cs="Arial"/>
          <w:sz w:val="22"/>
          <w:szCs w:val="22"/>
        </w:rPr>
      </w:pPr>
    </w:p>
    <w:p w:rsidR="00814D09" w:rsidRDefault="003D19DF">
      <w:pPr>
        <w:jc w:val="both"/>
      </w:pPr>
      <w:r>
        <w:rPr>
          <w:rFonts w:asciiTheme="majorHAnsi" w:hAnsiTheme="majorHAnsi" w:cs="Arial"/>
          <w:sz w:val="22"/>
          <w:szCs w:val="22"/>
        </w:rPr>
        <w:t>4) Wykonawca zobowiązany jest zapewnić,  w okresie trwania zamówienia, jednokrotny odbiór bezpośrednio z terenu nieruchomości zamieszkałych (z tzw. „wystawek”) mebli i innych odpadów wielkogabarytowych, zużytych opon oraz odpadów budowlanych i rozbiórkowych powstałe w wyniku drobnych prac remontowych nie  wymagających zgłoszenia lub pozwolenia na budowę ( tj. stare okna, ceramika łazienkowa, folie, styropian).</w:t>
      </w:r>
    </w:p>
    <w:p w:rsidR="00814D09" w:rsidRDefault="00814D09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814D09" w:rsidRDefault="00814D09">
      <w:pPr>
        <w:jc w:val="both"/>
        <w:rPr>
          <w:rFonts w:asciiTheme="majorHAnsi" w:hAnsiTheme="majorHAnsi" w:cs="Arial"/>
          <w:sz w:val="22"/>
          <w:szCs w:val="22"/>
        </w:rPr>
      </w:pPr>
    </w:p>
    <w:p w:rsidR="00814D09" w:rsidRDefault="003D19D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814D09" w:rsidRDefault="003D19DF">
      <w:pPr>
        <w:pStyle w:val="western"/>
        <w:jc w:val="both"/>
      </w:pPr>
      <w:r>
        <w:rPr>
          <w:rFonts w:asciiTheme="majorHAnsi" w:hAnsiTheme="majorHAnsi" w:cs="Arial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>
        <w:rPr>
          <w:rFonts w:asciiTheme="majorHAnsi" w:hAnsiTheme="majorHAnsi" w:cs="Arial"/>
          <w:color w:val="000000"/>
          <w:sz w:val="22"/>
          <w:szCs w:val="22"/>
        </w:rPr>
        <w:t>do dnia 10 stycznia 2017r.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Natomiast do nowo zamieszkałych posesji po 10.01.2017 r. Wykonawca dostarczy pojemniki oraz worki w ciągu 7 dni od dnia zgłoszenia przez Zamawiającego.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color w:val="1F497D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8) Wykonawca zobowiązany jest do odbioru w I kwartale 2017r. odpadów selektywnie zebranych w workach, które właściciel nieruchomości otrzymał od </w:t>
      </w:r>
      <w:r>
        <w:rPr>
          <w:rFonts w:asciiTheme="majorHAnsi" w:hAnsiTheme="majorHAnsi" w:cs="Arial"/>
          <w:color w:val="000000"/>
          <w:sz w:val="22"/>
          <w:szCs w:val="22"/>
        </w:rPr>
        <w:t>poprzedniego Wykonawcy usługi.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9) Na czas realizacji przedmiotu zamówienia Wykonawca zobowiązany jest do wyposażenia nieruchomości zamieszkałej o zabudowie wielorodzinnej w Michalowie, w pojemniki na odpady zmieszane (4 szt.) oraz pojemniki przeznaczone do selektywnej zbiórki odpadów komunalnych (3 szt. każdego rodzaju). Wykonawca zobowiązany jest ustawić je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na nieruchomości do dnia    31 grudnia 2016r. w miejscach wskazanych przez Zamawiającego. 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color w:val="FF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10) Wykonawca przy każdorazowym odbiorze worków przeznaczonych do selektywnej zbiórki pozostawi nowe worki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w ilości i rodzaju odpowiadającym odebranym workom. Zamawiający sprawdzi, nie rzadziej niż raz na kwartał, 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814D09" w:rsidRDefault="003D19DF">
      <w:pPr>
        <w:pStyle w:val="NormalnyWeb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11)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Wykonawca dostarczy do dnia 15 stycznia 2017r. do siedziby Zamawiającego worki przeznaczone do selektywnej zbiórki  - po 300 szt. na każdy rodzaj odpadów selektywnie zbieranych, które będą wydawane właścicielom nieruchomości w miarę potrzeb.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12)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814D09" w:rsidRDefault="003D19DF">
      <w:pPr>
        <w:pStyle w:val="NormalnyWeb"/>
        <w:jc w:val="both"/>
      </w:pPr>
      <w:r>
        <w:rPr>
          <w:rFonts w:asciiTheme="majorHAnsi" w:hAnsiTheme="majorHAnsi" w:cs="Arial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>
        <w:rPr>
          <w:rFonts w:asciiTheme="majorHAnsi" w:hAnsiTheme="majorHAnsi" w:cs="Arial"/>
          <w:color w:val="000000"/>
          <w:sz w:val="22"/>
          <w:szCs w:val="22"/>
        </w:rPr>
        <w:t>wywozu odpadów w 2017 roku</w:t>
      </w:r>
      <w:r>
        <w:rPr>
          <w:rFonts w:asciiTheme="majorHAnsi" w:hAnsiTheme="majorHAnsi" w:cs="Arial"/>
          <w:sz w:val="22"/>
          <w:szCs w:val="22"/>
        </w:rPr>
        <w:t xml:space="preserve">, a następnie dostarczenia właścicielom nieruchomości w ciągu 14 dni od dnia przekazania informacji przez Zamawiającego o jego akceptacji. Za dostarczenie harmonogramu należy uznać jego pozostawienie w skrzynce pocztowej lub razem z pojemnikami na odpady komunalne. Wszelkie zmiany harmonogramu będą wymagały zgody </w:t>
      </w:r>
      <w:r>
        <w:rPr>
          <w:rFonts w:asciiTheme="majorHAnsi" w:hAnsiTheme="majorHAnsi" w:cs="Arial"/>
          <w:sz w:val="22"/>
          <w:szCs w:val="22"/>
        </w:rPr>
        <w:lastRenderedPageBreak/>
        <w:t xml:space="preserve">Zamawiającego, a Wykonawca będzie zobowiązany do dostarczenia zmienionych harmonogramów do każdej nieruchomości objętej odbiorem odpadów komunalnych. </w:t>
      </w:r>
      <w:r>
        <w:tab/>
      </w:r>
      <w:r>
        <w:tab/>
      </w:r>
      <w:r>
        <w:tab/>
      </w:r>
      <w:r>
        <w:tab/>
      </w:r>
      <w:r>
        <w:tab/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14) Odbiór odpadów komunalnych od właścicieli nieruchomości Wykonawca powinien realizować w godzinach 7.00-20.00.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16) Wykonawca jest zobowiązany do realizacji reklamacji 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na adres Zamawiającego.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17) System odbierania odpadów komunalnych nie obejmuje odpadów powstających w wyniku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prowadzenia działalności gospodarczej. 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18) Wykonawca zobowiązany jest do wyposażenia Punktu Selektywnej Zbiórki Odpadów Komunalnych znajdującego się na terenie Gminy Sułów w pojemniki lub urządzenia do gromadzenia odpadów. W ramach usługi Wykonawca wykona wywóz i zagospodarowanie odpadów zbieranych w PSZOK każdorazowo po zgłoszeniu przez Zamawiającego. 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o odpadach oraz ustawy o utrzymaniu czystości i porządku w gminach i przekazywania kopii dokumentacji Zamawiającemu w terminie do 14 dnia następnego miesiąca.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20) Wykonawca zobowiązany jest do prowadzenia i przekazywania co miesiąc, w terminie do     14 dnia następnego miesiąca, Zamawiającemu ewidencji nieruchomości, z których zostały odebrane zmieszane i selektywnie zebrane odpady. 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przyjąć odpady jako zmieszane odpady komunalne i niezwłocznie pisemnie powiadomić o tym Zamawiającego, nie później niż w ciągu 3 dni (art. 9f ustawy o utrzymaniu czystości i porządku w gminach). Do informacji Wykonawca zobowiązany będzie załączyć dokumentację filmową lub zdjęciową umożliwiającą identyfikację nieruchomości.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color w:val="FF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regionalnej instalacji przetwarzania odpadów komunalnych wskazanej w Planie Gospodarki Odpadami dla Województwa Lubelskiego 2017 oraz do przekazywania selektywnie zebranych odpadów komunalnych do instalacji odzysku i unieszkodliwiania odpadów zgodnie z hierarchią postępowania z odpadami, o której mowa w art. 17 ustawy z dnia 14 grudnia 2012 r., o odpadach (Dz. U. z 2013 r. poz. 21, z </w:t>
      </w:r>
      <w:proofErr w:type="spellStart"/>
      <w:r>
        <w:rPr>
          <w:rFonts w:asciiTheme="majorHAnsi" w:hAnsiTheme="majorHAnsi" w:cs="Arial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sz w:val="22"/>
          <w:szCs w:val="22"/>
        </w:rPr>
        <w:t>. zm.).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z realizacją przedmiotu umowy, na zasadach określonych w Kodeksie Cywilnym. </w:t>
      </w:r>
    </w:p>
    <w:p w:rsidR="00814D09" w:rsidRDefault="003D19D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814D09" w:rsidRDefault="003D19DF">
      <w:pPr>
        <w:spacing w:after="19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26) Za szkody w majątku Zamawiającego lub osób trzecich spowodowane w trakcie odbioru odpadów odpowiedzialność ponosi Wykonawca.</w:t>
      </w:r>
    </w:p>
    <w:p w:rsidR="00814D09" w:rsidRDefault="00814D09">
      <w:pPr>
        <w:spacing w:after="19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814D09" w:rsidRDefault="003D19DF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3.  Prawne uwarunkowania dotyczące odbioru i zagospodarowania odpadów.</w:t>
      </w:r>
    </w:p>
    <w:p w:rsidR="00814D09" w:rsidRDefault="00814D09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000000"/>
          <w:sz w:val="22"/>
          <w:szCs w:val="22"/>
        </w:rPr>
      </w:pPr>
    </w:p>
    <w:p w:rsidR="00814D09" w:rsidRDefault="003D19DF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a) Wykonawca zobowiązany jest do przestrzegania w trakcie realizacji zamówienia przepisów prawa, w szczególności takich jak: ustawa z dnia 2 lipca 2004 r. o swobodzie działalności gospodarczej (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t.j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Dz. U. z 2016r., poz. 1829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zm.), ustawa z dnia 14 grudnia 2012 r. o odpadach (Dz. U. z 2013 r., poz. 21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zm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), ustawa z dnia 13 września 1996 r. o utrzymaniu czystości i porządku w gminach (Dz. U. z 2016 r., poz. 250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zm.), ustawa z dnia 27 kwietnia 2001 r. Prawo ochrony środowiska (Dz. U. z 2016 r., poz. 672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zm.), ustawa  z dnia 11 września 2015 r. o zużytym sprzęcie elektrycznym i elektronicznym (Dz. U. z 2015 r., poz. 1688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. zm.), ustawa z dnia 24 kwietnia 2009 r. o bateriach i akumulatorach (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t.j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Dz. U. z 2016 r., poz. 1803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zm.), ustawa z dnia 18 lipca 2001 r. Prawo wodne ( Dz. U. z 2015 r., poz. 469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zm.), rozporządzenie Ministra Środowiska z dnia 16 czerwca 2009 r. w sprawie bezpieczeństwa i higieny pracy przy gospodarowaniu odpadami komunalnymi (Dz. U. 2009 r., nr 104 poz. 868), rozporządzenie Ministra Środowiska z dnia 12 grudnia 2014 r. w sprawie wzorów dokumentów stosowanych na potrzeby ewidencji i odpadów (Dz. U. 2014 r., poz. 1973), rozporządzenie Ministra Środowiska z dnia  9 grudnia 2014 r. w sprawie katalogu odpadów (Dz. U. 2014r.,poz. 1923), rozporządzenie Ministra Środowiska z dnia 29 maja 2012 r. w sprawie poziomów recyklingu, przygotowania do ponownego użycia i odzysku innymi metodami niektórych frakcji odpadów komunalnych (Dz. U z 2012 r., poz. 645), rozporządzenie Ministra Środowiska z dnia 17 czerwca 2016 r. w sprawie wzorów sprawozdań o odebranych i zebranych odpadach komunalnych, odebranych nieczystościach ciekłych oraz realizacji zadań z zakresu gospodarowania odpadami komunalnymi (Dz. U. z 2016 r., poz. 934), rozporządzenie Ministra Środowiska z dnia 25 maja 2012 r. w sprawie poziomów ograniczenia masy odpadów komunalnych ulegających biodegradacji przekazywanych do składowania oraz sposobu obliczania poziomu ograniczenia masy tych odpadów (Dz. U. z  2012 r., poz. 676), uchwała nr XVI/101/2016 Rady Gminy Sułów z dnia 6 czerwca 2016 r. w sprawie uchwalenia regulaminu utrzymania czystości i porządku na terenie Gminy Sułów, uchwała nr XVI/101/2016 Rady Gminy Sułów z dnia 6 czerwca 2016 r. w sprawie określenia  szczegółowego sposobu i zakresu świadczenia usług w zakresie odbierania odpadów komunalnych od właścicieli nieruchomości zamieszkałych i zagospodarowania tych odpadów z terenu Gminy Sułów w zamian za uiszczoną opłatę, uchwała Nr XXIV/396/12 Sejmiku Województwa Lubelskiego z dnia 30 lipca 2012 r. w sprawie uchwalenia „Planu gospodarki odpadami dla województwa lubelskiego 2017”, uchwała Nr XXIV/397/12 Sejmiku Województwa Lubelskiego z dnia 30 lipca 2012 r. w sprawie wykonania „Planu gospodarki odpadami dla województwa lubelskiego 2017” ze zmianami. </w:t>
      </w:r>
    </w:p>
    <w:p w:rsidR="00814D09" w:rsidRDefault="003D19DF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b) Wykonawca podczas realizacji zamówienia zapewni osiągnięcie odpowiednich poziomów recyklingu i przygotowania do ponownego użycia następujących frakcji odpadów komunalnych: papieru, metali, tworzyw sztucznych  i szkła, odzysku innymi metodami innych niż niebezpieczne odpadów budowlanych i rozbiórkowych oraz ograniczenia masy odpadów komunalnych ulegających biodegradacji przekazywanych do składowania zgodnie z art. 3 ust. 2 </w:t>
      </w:r>
      <w:r>
        <w:rPr>
          <w:rFonts w:asciiTheme="majorHAnsi" w:hAnsiTheme="majorHAnsi"/>
          <w:sz w:val="22"/>
          <w:szCs w:val="22"/>
        </w:rPr>
        <w:lastRenderedPageBreak/>
        <w:t>pkt.7,  art. 3b i art. 3c ustawy z dnia 13 września 1996 r. o utrzymaniu czystości i porządku w gminach (</w:t>
      </w:r>
      <w:proofErr w:type="spellStart"/>
      <w:r>
        <w:rPr>
          <w:rFonts w:asciiTheme="majorHAnsi" w:hAnsiTheme="majorHAnsi"/>
          <w:sz w:val="22"/>
          <w:szCs w:val="22"/>
        </w:rPr>
        <w:t>t.j.Dz</w:t>
      </w:r>
      <w:proofErr w:type="spellEnd"/>
      <w:r>
        <w:rPr>
          <w:rFonts w:asciiTheme="majorHAnsi" w:hAnsiTheme="majorHAnsi"/>
          <w:sz w:val="22"/>
          <w:szCs w:val="22"/>
        </w:rPr>
        <w:t xml:space="preserve">. U.  z 2016 r., poz. 250 z </w:t>
      </w:r>
      <w:proofErr w:type="spellStart"/>
      <w:r>
        <w:rPr>
          <w:rFonts w:asciiTheme="majorHAnsi" w:hAnsiTheme="majorHAnsi"/>
          <w:sz w:val="22"/>
          <w:szCs w:val="22"/>
        </w:rPr>
        <w:t>późn</w:t>
      </w:r>
      <w:proofErr w:type="spellEnd"/>
      <w:r>
        <w:rPr>
          <w:rFonts w:asciiTheme="majorHAnsi" w:hAnsiTheme="majorHAnsi"/>
          <w:sz w:val="22"/>
          <w:szCs w:val="22"/>
        </w:rPr>
        <w:t>. zm.), rozporządzeniem Ministra Środowiska z 29 maja 2012r. w sprawie poziomów recyklingu, przygotowania do ponownego użycia i odzysku innymi metodami niektórych frakcji odpadów komunalnych, rozporządzeniem Ministra Środowiska z 25 maja 2012r. w sprawie poziomów ograniczania masy odpadów komunalnych ulegających biodegradacji przekazywanych do składowania oraz sposobu obliczania poziomu ograniczania masy tych odpadów, uchwałą Nr XXIV/396/12 Sejmiku Województwa Lubelskiego z dnia 30 lipca2012 r. w sprawie uchwalenia „Planu gospodarki odpadami dla województwa lubelskiego 2017 ” ze zmianami, uchwałą Nr XXIV/397/12 Sejmiku Województwa Lubelskiego z dnia 30 lipca 2012 r. w sprawie wykonania „Planu gospodarki odpadami dla województwa lubelskiego 2017 ”.</w:t>
      </w:r>
    </w:p>
    <w:p w:rsidR="00814D09" w:rsidRDefault="003D19DF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814D09" w:rsidRDefault="00814D09">
      <w:pPr>
        <w:widowControl w:val="0"/>
        <w:jc w:val="both"/>
        <w:rPr>
          <w:rFonts w:asciiTheme="majorHAnsi" w:eastAsia="Arial Unicode MS" w:hAnsiTheme="majorHAnsi" w:cs="Arial"/>
          <w:b/>
          <w:bCs/>
          <w:color w:val="000000"/>
          <w:sz w:val="22"/>
          <w:szCs w:val="22"/>
          <w:u w:val="single"/>
        </w:rPr>
      </w:pPr>
    </w:p>
    <w:p w:rsidR="00814D09" w:rsidRDefault="00814D09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Pr="00704513" w:rsidRDefault="003D19DF" w:rsidP="003D19DF">
      <w:pPr>
        <w:jc w:val="right"/>
        <w:rPr>
          <w:sz w:val="22"/>
          <w:szCs w:val="22"/>
        </w:rPr>
      </w:pPr>
      <w:r w:rsidRPr="00704513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1</w:t>
      </w:r>
    </w:p>
    <w:p w:rsidR="003D19DF" w:rsidRPr="00E80A1C" w:rsidRDefault="003D19DF" w:rsidP="003D19DF">
      <w:pPr>
        <w:jc w:val="right"/>
        <w:rPr>
          <w:sz w:val="22"/>
          <w:szCs w:val="22"/>
        </w:rPr>
      </w:pPr>
      <w:r w:rsidRPr="00E80A1C">
        <w:rPr>
          <w:sz w:val="22"/>
          <w:szCs w:val="22"/>
        </w:rPr>
        <w:t xml:space="preserve">   </w:t>
      </w:r>
    </w:p>
    <w:p w:rsidR="003D19DF" w:rsidRDefault="003D19DF" w:rsidP="003D19DF">
      <w:pPr>
        <w:jc w:val="center"/>
        <w:rPr>
          <w:b/>
          <w:sz w:val="28"/>
          <w:szCs w:val="28"/>
        </w:rPr>
      </w:pPr>
    </w:p>
    <w:p w:rsidR="003D19DF" w:rsidRPr="000607BF" w:rsidRDefault="003D19DF" w:rsidP="003D19DF">
      <w:pPr>
        <w:jc w:val="center"/>
        <w:rPr>
          <w:b/>
          <w:sz w:val="28"/>
          <w:szCs w:val="28"/>
        </w:rPr>
      </w:pPr>
      <w:r w:rsidRPr="000607BF">
        <w:rPr>
          <w:b/>
          <w:sz w:val="28"/>
          <w:szCs w:val="28"/>
        </w:rPr>
        <w:t>SZACUNKOWA LICZBA NIERUCHOMOŚCI W POSZCZEGÓLNYCH MIEJSCOWOŚCIACH GMINY SUŁÓW</w:t>
      </w:r>
      <w:r>
        <w:rPr>
          <w:b/>
          <w:sz w:val="28"/>
          <w:szCs w:val="28"/>
        </w:rPr>
        <w:t xml:space="preserve"> </w:t>
      </w:r>
    </w:p>
    <w:p w:rsidR="003D19DF" w:rsidRDefault="003D19DF" w:rsidP="003D19DF"/>
    <w:p w:rsidR="003D19DF" w:rsidRDefault="003D19DF" w:rsidP="003D19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5519"/>
        <w:gridCol w:w="3070"/>
      </w:tblGrid>
      <w:tr w:rsidR="003D19DF" w:rsidRPr="00F7191D" w:rsidTr="00E316B2">
        <w:trPr>
          <w:trHeight w:val="454"/>
        </w:trPr>
        <w:tc>
          <w:tcPr>
            <w:tcW w:w="621" w:type="dxa"/>
          </w:tcPr>
          <w:p w:rsidR="003D19DF" w:rsidRPr="00F7191D" w:rsidRDefault="003D19DF" w:rsidP="00E316B2">
            <w:pPr>
              <w:jc w:val="both"/>
              <w:rPr>
                <w:b/>
              </w:rPr>
            </w:pPr>
            <w:r w:rsidRPr="00F7191D">
              <w:rPr>
                <w:b/>
              </w:rPr>
              <w:t>Lp.</w:t>
            </w:r>
          </w:p>
        </w:tc>
        <w:tc>
          <w:tcPr>
            <w:tcW w:w="5519" w:type="dxa"/>
          </w:tcPr>
          <w:p w:rsidR="003D19DF" w:rsidRPr="00F7191D" w:rsidRDefault="003D19DF" w:rsidP="00E316B2">
            <w:pPr>
              <w:jc w:val="both"/>
              <w:rPr>
                <w:b/>
              </w:rPr>
            </w:pPr>
            <w:r w:rsidRPr="00F7191D">
              <w:rPr>
                <w:b/>
              </w:rPr>
              <w:t>Miejscowość</w:t>
            </w:r>
          </w:p>
        </w:tc>
        <w:tc>
          <w:tcPr>
            <w:tcW w:w="3070" w:type="dxa"/>
          </w:tcPr>
          <w:p w:rsidR="003D19DF" w:rsidRPr="00F7191D" w:rsidRDefault="003D19DF" w:rsidP="00E316B2">
            <w:pPr>
              <w:jc w:val="center"/>
              <w:rPr>
                <w:b/>
              </w:rPr>
            </w:pPr>
            <w:r w:rsidRPr="00F7191D">
              <w:rPr>
                <w:b/>
              </w:rPr>
              <w:t>Liczba nieruchomości</w:t>
            </w:r>
          </w:p>
          <w:p w:rsidR="003D19DF" w:rsidRPr="00F7191D" w:rsidRDefault="003D19DF" w:rsidP="00E316B2">
            <w:pPr>
              <w:jc w:val="center"/>
              <w:rPr>
                <w:b/>
              </w:rPr>
            </w:pP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1.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Deszkowice Drugie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113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2.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Deszkowice Pierwsze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169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3.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Kawęczyn - Kolonia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19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4.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Kitów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64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5.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Kulików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31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6.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Rozłopy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111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7.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Rozłopy - Kolonia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24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8.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Sąsiadka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114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9.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Sułowiec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94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10.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Sułów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112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11.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Sułów - Kolonia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23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12.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Sułówek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30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13.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Tworyczów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154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14.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Źrebce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86</w:t>
            </w:r>
          </w:p>
        </w:tc>
      </w:tr>
      <w:tr w:rsidR="003D19DF" w:rsidTr="00E316B2">
        <w:trPr>
          <w:trHeight w:val="454"/>
        </w:trPr>
        <w:tc>
          <w:tcPr>
            <w:tcW w:w="621" w:type="dxa"/>
            <w:vAlign w:val="center"/>
          </w:tcPr>
          <w:p w:rsidR="003D19DF" w:rsidRDefault="003D19DF" w:rsidP="00E316B2">
            <w:r>
              <w:t>15.</w:t>
            </w:r>
          </w:p>
        </w:tc>
        <w:tc>
          <w:tcPr>
            <w:tcW w:w="5519" w:type="dxa"/>
            <w:vAlign w:val="center"/>
          </w:tcPr>
          <w:p w:rsidR="003D19DF" w:rsidRDefault="003D19DF" w:rsidP="00E316B2">
            <w:r>
              <w:t>Michalów (bez zabudowy wielorodzinnej)</w:t>
            </w:r>
          </w:p>
        </w:tc>
        <w:tc>
          <w:tcPr>
            <w:tcW w:w="3070" w:type="dxa"/>
            <w:vAlign w:val="center"/>
          </w:tcPr>
          <w:p w:rsidR="003D19DF" w:rsidRDefault="003D19DF" w:rsidP="00E316B2">
            <w:pPr>
              <w:jc w:val="center"/>
            </w:pPr>
            <w:r>
              <w:t>105</w:t>
            </w:r>
          </w:p>
        </w:tc>
      </w:tr>
      <w:tr w:rsidR="003D19DF" w:rsidRPr="00F7191D" w:rsidTr="00E316B2">
        <w:trPr>
          <w:trHeight w:val="454"/>
        </w:trPr>
        <w:tc>
          <w:tcPr>
            <w:tcW w:w="6140" w:type="dxa"/>
            <w:gridSpan w:val="2"/>
            <w:vAlign w:val="center"/>
          </w:tcPr>
          <w:p w:rsidR="003D19DF" w:rsidRPr="00F7191D" w:rsidRDefault="003D19DF" w:rsidP="00E316B2">
            <w:pPr>
              <w:rPr>
                <w:b/>
              </w:rPr>
            </w:pPr>
          </w:p>
          <w:p w:rsidR="003D19DF" w:rsidRPr="00F7191D" w:rsidRDefault="003D19DF" w:rsidP="00E316B2">
            <w:pPr>
              <w:rPr>
                <w:b/>
              </w:rPr>
            </w:pPr>
            <w:r w:rsidRPr="00F7191D">
              <w:rPr>
                <w:b/>
              </w:rPr>
              <w:t xml:space="preserve"> Razem:</w:t>
            </w:r>
          </w:p>
          <w:p w:rsidR="003D19DF" w:rsidRPr="00F7191D" w:rsidRDefault="003D19DF" w:rsidP="00E316B2">
            <w:pPr>
              <w:rPr>
                <w:b/>
              </w:rPr>
            </w:pPr>
          </w:p>
        </w:tc>
        <w:tc>
          <w:tcPr>
            <w:tcW w:w="3070" w:type="dxa"/>
            <w:vAlign w:val="center"/>
          </w:tcPr>
          <w:p w:rsidR="003D19DF" w:rsidRPr="00F7191D" w:rsidRDefault="003D19DF" w:rsidP="00E316B2">
            <w:pPr>
              <w:jc w:val="center"/>
              <w:rPr>
                <w:b/>
              </w:rPr>
            </w:pPr>
            <w:r w:rsidRPr="00F7191D">
              <w:rPr>
                <w:b/>
              </w:rPr>
              <w:t>1249</w:t>
            </w:r>
          </w:p>
        </w:tc>
      </w:tr>
    </w:tbl>
    <w:p w:rsidR="003D19DF" w:rsidRDefault="003D19DF" w:rsidP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Default="003D19DF"/>
    <w:p w:rsidR="003D19DF" w:rsidRPr="00704513" w:rsidRDefault="003D19DF" w:rsidP="003D19D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Pr="00704513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 2</w:t>
      </w:r>
    </w:p>
    <w:p w:rsidR="003D19DF" w:rsidRDefault="003D19DF" w:rsidP="003D19DF">
      <w:pPr>
        <w:jc w:val="right"/>
        <w:rPr>
          <w:b/>
        </w:rPr>
      </w:pPr>
    </w:p>
    <w:p w:rsidR="003D19DF" w:rsidRDefault="003D19DF" w:rsidP="003D19DF">
      <w:pPr>
        <w:jc w:val="right"/>
        <w:rPr>
          <w:b/>
        </w:rPr>
      </w:pPr>
    </w:p>
    <w:p w:rsidR="003D19DF" w:rsidRDefault="003D19DF" w:rsidP="003D19DF">
      <w:pPr>
        <w:jc w:val="right"/>
        <w:rPr>
          <w:b/>
        </w:rPr>
      </w:pPr>
    </w:p>
    <w:p w:rsidR="003D19DF" w:rsidRPr="006E2861" w:rsidRDefault="003D19DF" w:rsidP="003D19DF">
      <w:pPr>
        <w:jc w:val="center"/>
        <w:rPr>
          <w:b/>
        </w:rPr>
      </w:pPr>
      <w:r w:rsidRPr="006E2861">
        <w:rPr>
          <w:b/>
        </w:rPr>
        <w:t>WYKAZ</w:t>
      </w:r>
      <w:r w:rsidRPr="006E2861">
        <w:rPr>
          <w:b/>
        </w:rPr>
        <w:br/>
        <w:t>NIERUCHOMOŚCI Z TERENU GMINY SUŁÓW O TRUDNO DOSTĘPNEJ LOKALIZACJI:</w:t>
      </w:r>
    </w:p>
    <w:p w:rsidR="003D19DF" w:rsidRPr="006E2861" w:rsidRDefault="003D19DF" w:rsidP="003D19DF">
      <w:pPr>
        <w:jc w:val="center"/>
      </w:pPr>
    </w:p>
    <w:tbl>
      <w:tblPr>
        <w:tblStyle w:val="Tabela-Siatka"/>
        <w:tblW w:w="0" w:type="auto"/>
        <w:jc w:val="center"/>
        <w:tblLook w:val="04A0"/>
      </w:tblPr>
      <w:tblGrid>
        <w:gridCol w:w="959"/>
        <w:gridCol w:w="4111"/>
      </w:tblGrid>
      <w:tr w:rsidR="003D19DF" w:rsidRPr="006E2861" w:rsidTr="00E316B2">
        <w:trPr>
          <w:trHeight w:val="539"/>
          <w:jc w:val="center"/>
        </w:trPr>
        <w:tc>
          <w:tcPr>
            <w:tcW w:w="959" w:type="dxa"/>
            <w:vAlign w:val="center"/>
          </w:tcPr>
          <w:p w:rsidR="003D19DF" w:rsidRPr="006E2861" w:rsidRDefault="003D19DF" w:rsidP="00E316B2">
            <w:pPr>
              <w:rPr>
                <w:b/>
              </w:rPr>
            </w:pPr>
            <w:r w:rsidRPr="006E2861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:rsidR="003D19DF" w:rsidRPr="006E2861" w:rsidRDefault="003D19DF" w:rsidP="00E316B2">
            <w:pPr>
              <w:rPr>
                <w:b/>
              </w:rPr>
            </w:pPr>
            <w:r w:rsidRPr="006E2861">
              <w:rPr>
                <w:b/>
              </w:rPr>
              <w:t>Adres nieruchomości: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Deszkowice Pierwsze 214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2.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Deszkowice Drugie 91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3.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Deszkowice Drugie 147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4.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Michalów ul. Zielona 48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5.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Sułowiec 88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6.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Sułowiec 90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7.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Sułowiec 90A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8.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Sułowiec 96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9.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Sułówek 48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10.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Sułówek 49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11.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Sułówek 50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12.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 xml:space="preserve">Sułówek 51  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13.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Tworyczów 157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14.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Tworyczów 161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15.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Tworyczów 164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16.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Tworyczów 170A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17.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Źrebce 89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18.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Źrebce 121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pPr>
              <w:jc w:val="both"/>
            </w:pPr>
            <w:r w:rsidRPr="006E2861">
              <w:t>19.</w:t>
            </w:r>
          </w:p>
        </w:tc>
        <w:tc>
          <w:tcPr>
            <w:tcW w:w="4111" w:type="dxa"/>
          </w:tcPr>
          <w:p w:rsidR="003D19DF" w:rsidRPr="006E2861" w:rsidRDefault="003D19DF" w:rsidP="00E316B2">
            <w:pPr>
              <w:rPr>
                <w:rFonts w:cs="Arial"/>
              </w:rPr>
            </w:pPr>
            <w:r w:rsidRPr="006E2861">
              <w:rPr>
                <w:rFonts w:cs="Arial"/>
              </w:rPr>
              <w:t>Źrebce 122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r w:rsidRPr="006E2861">
              <w:t>20.</w:t>
            </w:r>
          </w:p>
        </w:tc>
        <w:tc>
          <w:tcPr>
            <w:tcW w:w="4111" w:type="dxa"/>
          </w:tcPr>
          <w:p w:rsidR="003D19DF" w:rsidRPr="006E2861" w:rsidRDefault="003D19DF" w:rsidP="00E316B2">
            <w:r w:rsidRPr="006E2861">
              <w:rPr>
                <w:rFonts w:cs="Arial"/>
              </w:rPr>
              <w:t>Źrebce 125</w:t>
            </w:r>
          </w:p>
        </w:tc>
      </w:tr>
      <w:tr w:rsidR="003D19DF" w:rsidRPr="006E2861" w:rsidTr="00E316B2">
        <w:trPr>
          <w:jc w:val="center"/>
        </w:trPr>
        <w:tc>
          <w:tcPr>
            <w:tcW w:w="959" w:type="dxa"/>
          </w:tcPr>
          <w:p w:rsidR="003D19DF" w:rsidRPr="006E2861" w:rsidRDefault="003D19DF" w:rsidP="00E316B2">
            <w:r>
              <w:t>21.</w:t>
            </w:r>
          </w:p>
        </w:tc>
        <w:tc>
          <w:tcPr>
            <w:tcW w:w="4111" w:type="dxa"/>
          </w:tcPr>
          <w:p w:rsidR="003D19DF" w:rsidRPr="006E2861" w:rsidRDefault="003D19DF" w:rsidP="00E316B2">
            <w:pPr>
              <w:rPr>
                <w:rFonts w:cs="Arial"/>
              </w:rPr>
            </w:pPr>
            <w:r>
              <w:rPr>
                <w:rFonts w:cs="Arial"/>
              </w:rPr>
              <w:t>Rozłopy 170</w:t>
            </w:r>
          </w:p>
        </w:tc>
      </w:tr>
    </w:tbl>
    <w:p w:rsidR="003D19DF" w:rsidRPr="006E2861" w:rsidRDefault="003D19DF" w:rsidP="003D19DF">
      <w:r w:rsidRPr="006E2861">
        <w:rPr>
          <w:rFonts w:cs="Arial"/>
        </w:rPr>
        <w:t xml:space="preserve">                                                            </w:t>
      </w:r>
    </w:p>
    <w:p w:rsidR="003D19DF" w:rsidRDefault="003D19DF"/>
    <w:p w:rsidR="003D19DF" w:rsidRDefault="003D19DF"/>
    <w:sectPr w:rsidR="003D19DF" w:rsidSect="00814D0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590"/>
    <w:multiLevelType w:val="multilevel"/>
    <w:tmpl w:val="D47A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BE78FD"/>
    <w:multiLevelType w:val="multilevel"/>
    <w:tmpl w:val="C9D8E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75E9"/>
    <w:multiLevelType w:val="multilevel"/>
    <w:tmpl w:val="8432E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B3EEE"/>
    <w:multiLevelType w:val="multilevel"/>
    <w:tmpl w:val="E2C075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C334F26"/>
    <w:multiLevelType w:val="multilevel"/>
    <w:tmpl w:val="D6E24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B5208"/>
    <w:multiLevelType w:val="multilevel"/>
    <w:tmpl w:val="79DC6AE4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6">
    <w:nsid w:val="6D2E5F78"/>
    <w:multiLevelType w:val="multilevel"/>
    <w:tmpl w:val="951A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14D09"/>
    <w:rsid w:val="0003712E"/>
    <w:rsid w:val="0028030D"/>
    <w:rsid w:val="003D19DF"/>
    <w:rsid w:val="00463ACB"/>
    <w:rsid w:val="00647924"/>
    <w:rsid w:val="00686B60"/>
    <w:rsid w:val="00747347"/>
    <w:rsid w:val="0081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paragraph" w:styleId="Nagwek">
    <w:name w:val="header"/>
    <w:basedOn w:val="Normalny"/>
    <w:next w:val="Tretekstu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2555</Words>
  <Characters>15331</Characters>
  <Application>Microsoft Office Word</Application>
  <DocSecurity>0</DocSecurity>
  <Lines>127</Lines>
  <Paragraphs>35</Paragraphs>
  <ScaleCrop>false</ScaleCrop>
  <Company/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Małgorzata Ch</cp:lastModifiedBy>
  <cp:revision>11</cp:revision>
  <dcterms:created xsi:type="dcterms:W3CDTF">2016-12-01T11:12:00Z</dcterms:created>
  <dcterms:modified xsi:type="dcterms:W3CDTF">2016-12-06T10:44:00Z</dcterms:modified>
  <dc:language>pl-PL</dc:language>
</cp:coreProperties>
</file>